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0" w:after="100" w:line="250" w:lineRule="auto"/>
        <w:jc w:val="center"/>
      </w:pPr>
      <w:r>
        <w:rPr>
          <w:rFonts w:ascii="Times New Roman" w:hAnsi="Times New Roman" w:eastAsia="Times New Roman" w:cs="Times New Roman"/>
          <w:b/>
          <w:i w:val="0"/>
          <w:sz w:val="28"/>
        </w:rPr>
        <w:t>PHỤ LỤC II</w:t>
      </w:r>
    </w:p>
    <w:p>
      <w:pPr>
        <w:widowControl/>
        <w:spacing w:before="0" w:after="80" w:line="252" w:lineRule="auto"/>
        <w:jc w:val="center"/>
      </w:pPr>
      <w:r>
        <w:rPr>
          <w:rFonts w:ascii="Times New Roman" w:hAnsi="Times New Roman" w:eastAsia="Times New Roman" w:cs="Times New Roman"/>
          <w:b/>
          <w:i w:val="0"/>
          <w:sz w:val="25"/>
        </w:rPr>
        <w:t>DANH MỤC NHIỆM VỤ, HOẠT ĐỘNG VÀ MỨC CHI TRONG XÂY DỰNG NGHỊ QUYẾT QUY PHẠM PHÁP LUẬT CỦA HĐND, QUYẾT ĐỊNH QUY PHẠM PHÁP LUẬT CỦA UBND PHƯỜNG HỐ NAI</w:t>
      </w:r>
    </w:p>
    <w:p>
      <w:pPr>
        <w:widowControl/>
        <w:spacing w:before="0" w:after="140" w:line="250" w:lineRule="auto"/>
        <w:jc w:val="center"/>
      </w:pPr>
      <w:r>
        <w:rPr>
          <w:rFonts w:ascii="Times New Roman" w:hAnsi="Times New Roman" w:eastAsia="Times New Roman" w:cs="Times New Roman"/>
          <w:b w:val="0"/>
          <w:i/>
          <w:sz w:val="21"/>
        </w:rPr>
        <w:t>(Ban hành kèm theo Nghị quyết số ……/2026/NQ-HĐND ngày …… tháng …… năm 2026 của HĐND phường Hố Nai)</w:t>
      </w:r>
    </w:p>
    <w:p>
      <w:pPr>
        <w:keepNext/>
        <w:widowControl/>
        <w:spacing w:before="0" w:after="40" w:line="250" w:lineRule="auto"/>
        <w:jc w:val="left"/>
      </w:pPr>
      <w:r>
        <w:rPr>
          <w:rFonts w:ascii="Times New Roman" w:hAnsi="Times New Roman" w:eastAsia="Times New Roman" w:cs="Times New Roman"/>
          <w:b/>
          <w:i w:val="0"/>
          <w:sz w:val="22"/>
        </w:rPr>
        <w:t>I. NGHỊ QUYẾT HĐND PHƯỜNG - BAN HÀNH MỚI, THAY THẾ HOẶC SỬA ĐỔI, BỔ SUNG TỪ 02 NGHỊ QUYẾT TRỞ LÊN</w:t>
      </w:r>
    </w:p>
    <w:p>
      <w:pPr>
        <w:keepNext/>
        <w:widowControl/>
        <w:spacing w:before="0" w:after="80" w:line="250" w:lineRule="auto"/>
        <w:jc w:val="right"/>
      </w:pPr>
      <w:r>
        <w:rPr>
          <w:rFonts w:ascii="Times New Roman" w:hAnsi="Times New Roman" w:eastAsia="Times New Roman" w:cs="Times New Roman"/>
          <w:b w:val="0"/>
          <w:i/>
          <w:sz w:val="20"/>
        </w:rPr>
        <w:t>Tổng định mức: 10.000.000 đồng/văn bản. Đơn vị tính: đồng/văn bản.</w:t>
      </w:r>
    </w:p>
    <w:tbl>
      <w:tblPr>
        <w:tblW w:type="auto" w:w="0"/>
        <w:jc w:val="center"/>
        <w:tblLayout w:type="fixed"/>
        <w:tblLook w:firstColumn="1" w:firstRow="1" w:lastColumn="0" w:lastRow="0" w:noHBand="0" w:noVBand="1" w:val="04A0"/>
        <w:tblBorders>
          <w:top w:val="single" w:sz="6" w:color="333333"/>
          <w:left w:val="single" w:sz="6" w:color="333333"/>
          <w:bottom w:val="single" w:sz="6" w:color="333333"/>
          <w:right w:val="single" w:sz="6" w:color="333333"/>
          <w:insideH w:val="single" w:sz="6" w:color="333333"/>
          <w:insideV w:val="single" w:sz="6" w:color="333333"/>
        </w:tblBorders>
      </w:tblPr>
      <w:tblGrid>
        <w:gridCol w:w="737"/>
        <w:gridCol w:w="4252"/>
        <w:gridCol w:w="7512"/>
        <w:gridCol w:w="1729"/>
      </w:tblGrid>
      <w:tr>
        <w:trPr>
          <w:cantSplit/>
          <w:tblHeader/>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STT</w:t>
            </w:r>
          </w:p>
        </w:tc>
        <w:tc>
          <w:tcPr>
            <w:tcW w:type="dxa" w:w="4252"/>
            <w:tcMar>
              <w:top w:w="35" w:type="dxa"/>
              <w:start w:w="13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Nhiệm vụ, hoạt động</w:t>
            </w:r>
          </w:p>
        </w:tc>
        <w:tc>
          <w:tcPr>
            <w:tcW w:type="dxa" w:w="7512"/>
            <w:tcMar>
              <w:top w:w="35" w:type="dxa"/>
              <w:start w:w="13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Sản phẩm, hồ sơ minh chứng</w:t>
            </w:r>
          </w:p>
        </w:tc>
        <w:tc>
          <w:tcPr>
            <w:tcW w:type="dxa" w:w="1729"/>
            <w:tcMar>
              <w:top w:w="35" w:type="dxa"/>
              <w:start w:w="13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Mức chi</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1.1</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Truyền thông về việc xây dựng văn bản</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Bài viết, tin, sản phẩm số hoặc tài liệu truyền thông theo nhiệm vụ được giao.</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100.000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1.2</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Xây dựng hồ sơ dự thảo nghị quyết</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Hồ sơ dự thảo nghị quyết (gồm dự thảo tờ trình, dự thảo nghị quyết theo quy định).</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1.980.000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1.3</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Tổ chức lấy ý kiến, tổng hợp và giải trình</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Bản tổng hợp, tiếp thu, giải trình ý kiến góp ý; tài liệu phục vụ lấy ý kiến.</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1.560.000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1.4</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Chỉnh lý, hoàn thiện hồ sơ dự thảo nghị quyết</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Hồ sơ dự thảo nghị quyết được chỉnh lý, hoàn thiện sau góp ý, thẩm định, thẩm tra.</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1.560.000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2</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Thẩm định dự thảo nghị quyết</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Báo cáo thẩm định và hồ sơ, tài liệu liên quan theo quy định.</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800.000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3</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Tổng hợp, rà soát hồ sơ trình HĐND</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Hồ sơ được kiểm tra, tổng hợp, hoàn thiện để trình HĐND phường.</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1.000.000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4</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Thẩm tra, phục vụ trình kỳ họp HĐND</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Báo cáo thẩm tra và hồ sơ, tài liệu phục vụ xem xét dự thảo nghị quyết tại kỳ họp.</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3.000.000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20"/>
              </w:rPr>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i w:val="0"/>
                <w:sz w:val="20"/>
              </w:rPr>
              <w:t>TỔNG CỘNG</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i w:val="0"/>
                <w:sz w:val="20"/>
              </w:rPr>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i w:val="0"/>
                <w:sz w:val="20"/>
              </w:rPr>
              <w:t>10.000.000</w:t>
            </w:r>
          </w:p>
        </w:tc>
      </w:tr>
    </w:tbl>
    <w:p>
      <w:pPr>
        <w:widowControl/>
        <w:spacing w:before="0" w:after="40" w:line="250" w:lineRule="auto"/>
      </w:pPr>
    </w:p>
    <w:p>
      <w:pPr>
        <w:keepNext/>
        <w:widowControl/>
        <w:spacing w:before="40" w:after="40" w:line="250" w:lineRule="auto"/>
        <w:jc w:val="left"/>
      </w:pPr>
      <w:r>
        <w:rPr>
          <w:rFonts w:ascii="Times New Roman" w:hAnsi="Times New Roman" w:eastAsia="Times New Roman" w:cs="Times New Roman"/>
          <w:b/>
          <w:i w:val="0"/>
          <w:sz w:val="22"/>
        </w:rPr>
        <w:t>II. NGHỊ QUYẾT HĐND PHƯỜNG - SỬA ĐỔI, BỔ SUNG 01 NGHỊ QUYẾT</w:t>
      </w:r>
    </w:p>
    <w:p>
      <w:pPr>
        <w:keepNext/>
        <w:widowControl/>
        <w:spacing w:before="0" w:after="80" w:line="250" w:lineRule="auto"/>
        <w:jc w:val="right"/>
      </w:pPr>
      <w:r>
        <w:rPr>
          <w:rFonts w:ascii="Times New Roman" w:hAnsi="Times New Roman" w:eastAsia="Times New Roman" w:cs="Times New Roman"/>
          <w:b w:val="0"/>
          <w:i/>
          <w:sz w:val="20"/>
        </w:rPr>
        <w:t>Tổng định mức: 6.000.000 đồng/văn bản. Đơn vị tính: đồng/văn bản.</w:t>
      </w:r>
    </w:p>
    <w:tbl>
      <w:tblPr>
        <w:tblW w:type="auto" w:w="0"/>
        <w:jc w:val="center"/>
        <w:tblLayout w:type="fixed"/>
        <w:tblLook w:firstColumn="1" w:firstRow="1" w:lastColumn="0" w:lastRow="0" w:noHBand="0" w:noVBand="1" w:val="04A0"/>
        <w:tblBorders>
          <w:top w:val="single" w:sz="6" w:color="333333"/>
          <w:left w:val="single" w:sz="6" w:color="333333"/>
          <w:bottom w:val="single" w:sz="6" w:color="333333"/>
          <w:right w:val="single" w:sz="6" w:color="333333"/>
          <w:insideH w:val="single" w:sz="6" w:color="333333"/>
          <w:insideV w:val="single" w:sz="6" w:color="333333"/>
        </w:tblBorders>
      </w:tblPr>
      <w:tblGrid>
        <w:gridCol w:w="737"/>
        <w:gridCol w:w="4252"/>
        <w:gridCol w:w="7512"/>
        <w:gridCol w:w="1729"/>
      </w:tblGrid>
      <w:tr>
        <w:trPr>
          <w:cantSplit/>
          <w:tblHeader/>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STT</w:t>
            </w:r>
          </w:p>
        </w:tc>
        <w:tc>
          <w:tcPr>
            <w:tcW w:type="dxa" w:w="4252"/>
            <w:tcMar>
              <w:top w:w="35" w:type="dxa"/>
              <w:start w:w="13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Nhiệm vụ, hoạt động</w:t>
            </w:r>
          </w:p>
        </w:tc>
        <w:tc>
          <w:tcPr>
            <w:tcW w:type="dxa" w:w="7512"/>
            <w:tcMar>
              <w:top w:w="35" w:type="dxa"/>
              <w:start w:w="13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Sản phẩm, hồ sơ minh chứng</w:t>
            </w:r>
          </w:p>
        </w:tc>
        <w:tc>
          <w:tcPr>
            <w:tcW w:type="dxa" w:w="1729"/>
            <w:tcMar>
              <w:top w:w="35" w:type="dxa"/>
              <w:start w:w="13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Mức chi</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1.1</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Truyền thông về việc xây dựng văn bản</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Bài viết, tin, sản phẩm số hoặc tài liệu truyền thông theo nhiệm vụ được giao.</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60.000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1.2</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Xây dựng hồ sơ dự thảo nghị quyết</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Hồ sơ dự thảo nghị quyết (gồm dự thảo tờ trình, dự thảo nghị quyết theo quy định).</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1.188.000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1.3</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Tổ chức lấy ý kiến, tổng hợp và giải trình</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Bản tổng hợp, tiếp thu, giải trình ý kiến góp ý; tài liệu phục vụ lấy ý kiến.</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936.000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1.4</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Chỉnh lý, hoàn thiện hồ sơ dự thảo nghị quyết</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Hồ sơ dự thảo nghị quyết được chỉnh lý, hoàn thiện sau góp ý, thẩm định, thẩm tra.</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936.000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2</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Thẩm định dự thảo nghị quyết</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Báo cáo thẩm định và hồ sơ, tài liệu liên quan theo quy định.</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480.000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3</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Tổng hợp, rà soát hồ sơ trình HĐND</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Hồ sơ được kiểm tra, tổng hợp, hoàn thiện để trình HĐND phường.</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600.000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4</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Thẩm tra, phục vụ trình kỳ họp HĐND</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Báo cáo thẩm tra và hồ sơ, tài liệu phục vụ xem xét dự thảo nghị quyết tại kỳ họp.</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1.800.000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20"/>
              </w:rPr>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i w:val="0"/>
                <w:sz w:val="20"/>
              </w:rPr>
              <w:t>TỔNG CỘNG</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i w:val="0"/>
                <w:sz w:val="20"/>
              </w:rPr>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i w:val="0"/>
                <w:sz w:val="20"/>
              </w:rPr>
              <w:t>6.000.000</w:t>
            </w:r>
          </w:p>
        </w:tc>
      </w:tr>
    </w:tbl>
    <w:p>
      <w:pPr>
        <w:spacing w:after="0" w:before="0"/>
      </w:pPr>
      <w:r>
        <w:br w:type="page"/>
      </w:r>
    </w:p>
    <w:p>
      <w:pPr>
        <w:keepNext/>
        <w:widowControl/>
        <w:spacing w:before="0" w:after="40" w:line="250" w:lineRule="auto"/>
        <w:jc w:val="left"/>
      </w:pPr>
      <w:r>
        <w:rPr>
          <w:rFonts w:ascii="Times New Roman" w:hAnsi="Times New Roman" w:eastAsia="Times New Roman" w:cs="Times New Roman"/>
          <w:b/>
          <w:i w:val="0"/>
          <w:sz w:val="22"/>
        </w:rPr>
        <w:t>III. NGHỊ QUYẾT HĐND PHƯỜNG - BÃI BỎ MỘT PHẦN HOẶC TOÀN BỘ</w:t>
      </w:r>
    </w:p>
    <w:p>
      <w:pPr>
        <w:keepNext/>
        <w:widowControl/>
        <w:spacing w:before="0" w:after="80" w:line="250" w:lineRule="auto"/>
        <w:jc w:val="right"/>
      </w:pPr>
      <w:r>
        <w:rPr>
          <w:rFonts w:ascii="Times New Roman" w:hAnsi="Times New Roman" w:eastAsia="Times New Roman" w:cs="Times New Roman"/>
          <w:b w:val="0"/>
          <w:i/>
          <w:sz w:val="20"/>
        </w:rPr>
        <w:t>Tổng định mức: 3.000.000 đồng/văn bản. Đơn vị tính: đồng/văn bản.</w:t>
      </w:r>
    </w:p>
    <w:tbl>
      <w:tblPr>
        <w:tblW w:type="auto" w:w="0"/>
        <w:jc w:val="center"/>
        <w:tblLayout w:type="fixed"/>
        <w:tblLook w:firstColumn="1" w:firstRow="1" w:lastColumn="0" w:lastRow="0" w:noHBand="0" w:noVBand="1" w:val="04A0"/>
        <w:tblBorders>
          <w:top w:val="single" w:sz="6" w:color="333333"/>
          <w:left w:val="single" w:sz="6" w:color="333333"/>
          <w:bottom w:val="single" w:sz="6" w:color="333333"/>
          <w:right w:val="single" w:sz="6" w:color="333333"/>
          <w:insideH w:val="single" w:sz="6" w:color="333333"/>
          <w:insideV w:val="single" w:sz="6" w:color="333333"/>
        </w:tblBorders>
      </w:tblPr>
      <w:tblGrid>
        <w:gridCol w:w="737"/>
        <w:gridCol w:w="4252"/>
        <w:gridCol w:w="7512"/>
        <w:gridCol w:w="1729"/>
      </w:tblGrid>
      <w:tr>
        <w:trPr>
          <w:cantSplit/>
          <w:tblHeader/>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STT</w:t>
            </w:r>
          </w:p>
        </w:tc>
        <w:tc>
          <w:tcPr>
            <w:tcW w:type="dxa" w:w="4252"/>
            <w:tcMar>
              <w:top w:w="35" w:type="dxa"/>
              <w:start w:w="13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Nhiệm vụ, hoạt động</w:t>
            </w:r>
          </w:p>
        </w:tc>
        <w:tc>
          <w:tcPr>
            <w:tcW w:type="dxa" w:w="7512"/>
            <w:tcMar>
              <w:top w:w="35" w:type="dxa"/>
              <w:start w:w="13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Sản phẩm, hồ sơ minh chứng</w:t>
            </w:r>
          </w:p>
        </w:tc>
        <w:tc>
          <w:tcPr>
            <w:tcW w:type="dxa" w:w="1729"/>
            <w:tcMar>
              <w:top w:w="35" w:type="dxa"/>
              <w:start w:w="13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Mức chi</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1.1</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Truyền thông về việc xây dựng văn bản</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Bài viết, tin, sản phẩm số hoặc tài liệu truyền thông theo nhiệm vụ được giao.</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30.000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1.2</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Xây dựng hồ sơ dự thảo nghị quyết</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Hồ sơ dự thảo nghị quyết (gồm dự thảo tờ trình, dự thảo nghị quyết theo quy định).</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594.000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1.3</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Tổ chức lấy ý kiến, tổng hợp và giải trình</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Bản tổng hợp, tiếp thu, giải trình ý kiến góp ý; tài liệu phục vụ lấy ý kiến.</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468.000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1.4</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Chỉnh lý, hoàn thiện hồ sơ dự thảo nghị quyết</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Hồ sơ dự thảo nghị quyết được chỉnh lý, hoàn thiện sau góp ý, thẩm định, thẩm tra.</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468.000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2</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Thẩm định dự thảo nghị quyết</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Báo cáo thẩm định và hồ sơ, tài liệu liên quan theo quy định.</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240.000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3</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Tổng hợp, rà soát hồ sơ trình HĐND</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Hồ sơ được kiểm tra, tổng hợp, hoàn thiện để trình HĐND phường.</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300.000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4</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Thẩm tra, phục vụ trình kỳ họp HĐND</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Báo cáo thẩm tra và hồ sơ, tài liệu phục vụ xem xét dự thảo nghị quyết tại kỳ họp.</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900.000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20"/>
              </w:rPr>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i w:val="0"/>
                <w:sz w:val="20"/>
              </w:rPr>
              <w:t>TỔNG CỘNG</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i w:val="0"/>
                <w:sz w:val="20"/>
              </w:rPr>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i w:val="0"/>
                <w:sz w:val="20"/>
              </w:rPr>
              <w:t>3.000.000</w:t>
            </w:r>
          </w:p>
        </w:tc>
      </w:tr>
    </w:tbl>
    <w:p>
      <w:pPr>
        <w:widowControl/>
        <w:spacing w:before="0" w:after="40" w:line="250" w:lineRule="auto"/>
      </w:pPr>
    </w:p>
    <w:p>
      <w:pPr>
        <w:keepNext/>
        <w:widowControl/>
        <w:spacing w:before="40" w:after="40" w:line="250" w:lineRule="auto"/>
        <w:jc w:val="left"/>
      </w:pPr>
      <w:r>
        <w:rPr>
          <w:rFonts w:ascii="Times New Roman" w:hAnsi="Times New Roman" w:eastAsia="Times New Roman" w:cs="Times New Roman"/>
          <w:b/>
          <w:i w:val="0"/>
          <w:sz w:val="22"/>
        </w:rPr>
        <w:t>IV. QUYẾT ĐỊNH UBND PHƯỜNG - BAN HÀNH MỚI, THAY THẾ HOẶC SỬA ĐỔI, BỔ SUNG TỪ 02 QUYẾT ĐỊNH TRỞ LÊN</w:t>
      </w:r>
    </w:p>
    <w:p>
      <w:pPr>
        <w:keepNext/>
        <w:widowControl/>
        <w:spacing w:before="0" w:after="80" w:line="250" w:lineRule="auto"/>
        <w:jc w:val="right"/>
      </w:pPr>
      <w:r>
        <w:rPr>
          <w:rFonts w:ascii="Times New Roman" w:hAnsi="Times New Roman" w:eastAsia="Times New Roman" w:cs="Times New Roman"/>
          <w:b w:val="0"/>
          <w:i/>
          <w:sz w:val="20"/>
        </w:rPr>
        <w:t>Tổng định mức: 8.000.000 đồng/văn bản. Đơn vị tính: đồng/văn bản.</w:t>
      </w:r>
    </w:p>
    <w:tbl>
      <w:tblPr>
        <w:tblW w:type="auto" w:w="0"/>
        <w:jc w:val="center"/>
        <w:tblLayout w:type="fixed"/>
        <w:tblLook w:firstColumn="1" w:firstRow="1" w:lastColumn="0" w:lastRow="0" w:noHBand="0" w:noVBand="1" w:val="04A0"/>
        <w:tblBorders>
          <w:top w:val="single" w:sz="6" w:color="333333"/>
          <w:left w:val="single" w:sz="6" w:color="333333"/>
          <w:bottom w:val="single" w:sz="6" w:color="333333"/>
          <w:right w:val="single" w:sz="6" w:color="333333"/>
          <w:insideH w:val="single" w:sz="6" w:color="333333"/>
          <w:insideV w:val="single" w:sz="6" w:color="333333"/>
        </w:tblBorders>
      </w:tblPr>
      <w:tblGrid>
        <w:gridCol w:w="737"/>
        <w:gridCol w:w="4252"/>
        <w:gridCol w:w="7512"/>
        <w:gridCol w:w="1729"/>
      </w:tblGrid>
      <w:tr>
        <w:trPr>
          <w:cantSplit/>
          <w:tblHeader/>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STT</w:t>
            </w:r>
          </w:p>
        </w:tc>
        <w:tc>
          <w:tcPr>
            <w:tcW w:type="dxa" w:w="4252"/>
            <w:tcMar>
              <w:top w:w="35" w:type="dxa"/>
              <w:start w:w="13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Nhiệm vụ, hoạt động</w:t>
            </w:r>
          </w:p>
        </w:tc>
        <w:tc>
          <w:tcPr>
            <w:tcW w:type="dxa" w:w="7512"/>
            <w:tcMar>
              <w:top w:w="35" w:type="dxa"/>
              <w:start w:w="13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Sản phẩm, hồ sơ minh chứng</w:t>
            </w:r>
          </w:p>
        </w:tc>
        <w:tc>
          <w:tcPr>
            <w:tcW w:type="dxa" w:w="1729"/>
            <w:tcMar>
              <w:top w:w="35" w:type="dxa"/>
              <w:start w:w="13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Mức chi</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1</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Truyền thông về việc xây dựng quyết định</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Bài viết, tin, sản phẩm số hoặc tài liệu truyền thông theo nhiệm vụ được giao.</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100.000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2</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Xây dựng hồ sơ dự thảo quyết định</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Hồ sơ dự thảo quyết định (gồm dự thảo tờ trình, dự thảo quyết định theo quy định).</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2.140.000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3</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Tổ chức lấy ý kiến, tổng hợp và giải trình</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Bản tổng hợp, tiếp thu, giải trình ý kiến góp ý; tài liệu phục vụ lấy ý kiến.</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1.680.000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4</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Chỉnh lý, hoàn thiện hồ sơ dự thảo quyết định</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Hồ sơ dự thảo quyết định được chỉnh lý, hoàn thiện sau góp ý, thẩm định.</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1.680.000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5</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Thẩm định dự thảo quyết định</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Báo cáo thẩm định và hồ sơ, tài liệu liên quan theo quy định.</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1.000.000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6</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Tổng hợp, rà soát hồ sơ trình UBND</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Hồ sơ được kiểm tra, tổng hợp, hoàn thiện để trình UBND phường.</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1.400.000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20"/>
              </w:rPr>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i w:val="0"/>
                <w:sz w:val="20"/>
              </w:rPr>
              <w:t>TỔNG CỘNG</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i w:val="0"/>
                <w:sz w:val="20"/>
              </w:rPr>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i w:val="0"/>
                <w:sz w:val="20"/>
              </w:rPr>
              <w:t>8.000.000</w:t>
            </w:r>
          </w:p>
        </w:tc>
      </w:tr>
    </w:tbl>
    <w:p>
      <w:pPr>
        <w:spacing w:after="0" w:before="0"/>
      </w:pPr>
      <w:r>
        <w:br w:type="page"/>
      </w:r>
    </w:p>
    <w:p>
      <w:pPr>
        <w:keepNext/>
        <w:widowControl/>
        <w:spacing w:before="0" w:after="40" w:line="250" w:lineRule="auto"/>
        <w:jc w:val="left"/>
      </w:pPr>
      <w:r>
        <w:rPr>
          <w:rFonts w:ascii="Times New Roman" w:hAnsi="Times New Roman" w:eastAsia="Times New Roman" w:cs="Times New Roman"/>
          <w:b/>
          <w:i w:val="0"/>
          <w:sz w:val="22"/>
        </w:rPr>
        <w:t>V. QUYẾT ĐỊNH UBND PHƯỜNG - SỬA ĐỔI, BỔ SUNG 01 QUYẾT ĐỊNH</w:t>
      </w:r>
    </w:p>
    <w:p>
      <w:pPr>
        <w:keepNext/>
        <w:widowControl/>
        <w:spacing w:before="0" w:after="80" w:line="250" w:lineRule="auto"/>
        <w:jc w:val="right"/>
      </w:pPr>
      <w:r>
        <w:rPr>
          <w:rFonts w:ascii="Times New Roman" w:hAnsi="Times New Roman" w:eastAsia="Times New Roman" w:cs="Times New Roman"/>
          <w:b w:val="0"/>
          <w:i/>
          <w:sz w:val="20"/>
        </w:rPr>
        <w:t>Tổng định mức: 4.800.000 đồng/văn bản. Đơn vị tính: đồng/văn bản.</w:t>
      </w:r>
    </w:p>
    <w:tbl>
      <w:tblPr>
        <w:tblW w:type="auto" w:w="0"/>
        <w:jc w:val="center"/>
        <w:tblLayout w:type="fixed"/>
        <w:tblLook w:firstColumn="1" w:firstRow="1" w:lastColumn="0" w:lastRow="0" w:noHBand="0" w:noVBand="1" w:val="04A0"/>
        <w:tblBorders>
          <w:top w:val="single" w:sz="6" w:color="333333"/>
          <w:left w:val="single" w:sz="6" w:color="333333"/>
          <w:bottom w:val="single" w:sz="6" w:color="333333"/>
          <w:right w:val="single" w:sz="6" w:color="333333"/>
          <w:insideH w:val="single" w:sz="6" w:color="333333"/>
          <w:insideV w:val="single" w:sz="6" w:color="333333"/>
        </w:tblBorders>
      </w:tblPr>
      <w:tblGrid>
        <w:gridCol w:w="737"/>
        <w:gridCol w:w="4252"/>
        <w:gridCol w:w="7512"/>
        <w:gridCol w:w="1729"/>
      </w:tblGrid>
      <w:tr>
        <w:trPr>
          <w:cantSplit/>
          <w:tblHeader/>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STT</w:t>
            </w:r>
          </w:p>
        </w:tc>
        <w:tc>
          <w:tcPr>
            <w:tcW w:type="dxa" w:w="4252"/>
            <w:tcMar>
              <w:top w:w="35" w:type="dxa"/>
              <w:start w:w="13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Nhiệm vụ, hoạt động</w:t>
            </w:r>
          </w:p>
        </w:tc>
        <w:tc>
          <w:tcPr>
            <w:tcW w:type="dxa" w:w="7512"/>
            <w:tcMar>
              <w:top w:w="35" w:type="dxa"/>
              <w:start w:w="13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Sản phẩm, hồ sơ minh chứng</w:t>
            </w:r>
          </w:p>
        </w:tc>
        <w:tc>
          <w:tcPr>
            <w:tcW w:type="dxa" w:w="1729"/>
            <w:tcMar>
              <w:top w:w="35" w:type="dxa"/>
              <w:start w:w="13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Mức chi</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1</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Truyền thông về việc xây dựng quyết định</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Bài viết, tin, sản phẩm số hoặc tài liệu truyền thông theo nhiệm vụ được giao.</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60.000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2</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Xây dựng hồ sơ dự thảo quyết định</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Hồ sơ dự thảo quyết định (gồm dự thảo tờ trình, dự thảo quyết định theo quy định).</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1.284.000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3</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Tổ chức lấy ý kiến, tổng hợp và giải trình</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Bản tổng hợp, tiếp thu, giải trình ý kiến góp ý; tài liệu phục vụ lấy ý kiến.</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1.008.000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4</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Chỉnh lý, hoàn thiện hồ sơ dự thảo quyết định</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Hồ sơ dự thảo quyết định được chỉnh lý, hoàn thiện sau góp ý, thẩm định.</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1.008.000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5</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Thẩm định dự thảo quyết định</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Báo cáo thẩm định và hồ sơ, tài liệu liên quan theo quy định.</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600.000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6</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Tổng hợp, rà soát hồ sơ trình UBND</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Hồ sơ được kiểm tra, tổng hợp, hoàn thiện để trình UBND phường.</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840.000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20"/>
              </w:rPr>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i w:val="0"/>
                <w:sz w:val="20"/>
              </w:rPr>
              <w:t>TỔNG CỘNG</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i w:val="0"/>
                <w:sz w:val="20"/>
              </w:rPr>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i w:val="0"/>
                <w:sz w:val="20"/>
              </w:rPr>
              <w:t>4.800.000</w:t>
            </w:r>
          </w:p>
        </w:tc>
      </w:tr>
    </w:tbl>
    <w:p>
      <w:pPr>
        <w:widowControl/>
        <w:spacing w:before="0" w:after="40" w:line="250" w:lineRule="auto"/>
      </w:pPr>
    </w:p>
    <w:p>
      <w:pPr>
        <w:keepNext/>
        <w:widowControl/>
        <w:spacing w:before="40" w:after="40" w:line="250" w:lineRule="auto"/>
        <w:jc w:val="left"/>
      </w:pPr>
      <w:r>
        <w:rPr>
          <w:rFonts w:ascii="Times New Roman" w:hAnsi="Times New Roman" w:eastAsia="Times New Roman" w:cs="Times New Roman"/>
          <w:b/>
          <w:i w:val="0"/>
          <w:sz w:val="22"/>
        </w:rPr>
        <w:t>VI. QUYẾT ĐỊNH UBND PHƯỜNG - BÃI BỎ MỘT PHẦN HOẶC TOÀN BỘ</w:t>
      </w:r>
    </w:p>
    <w:p>
      <w:pPr>
        <w:keepNext/>
        <w:widowControl/>
        <w:spacing w:before="0" w:after="80" w:line="250" w:lineRule="auto"/>
        <w:jc w:val="right"/>
      </w:pPr>
      <w:r>
        <w:rPr>
          <w:rFonts w:ascii="Times New Roman" w:hAnsi="Times New Roman" w:eastAsia="Times New Roman" w:cs="Times New Roman"/>
          <w:b w:val="0"/>
          <w:i/>
          <w:sz w:val="20"/>
        </w:rPr>
        <w:t>Tổng định mức: 2.400.000 đồng/văn bản. Đơn vị tính: đồng/văn bản.</w:t>
      </w:r>
    </w:p>
    <w:tbl>
      <w:tblPr>
        <w:tblW w:type="auto" w:w="0"/>
        <w:jc w:val="center"/>
        <w:tblLayout w:type="fixed"/>
        <w:tblLook w:firstColumn="1" w:firstRow="1" w:lastColumn="0" w:lastRow="0" w:noHBand="0" w:noVBand="1" w:val="04A0"/>
        <w:tblBorders>
          <w:top w:val="single" w:sz="6" w:color="333333"/>
          <w:left w:val="single" w:sz="6" w:color="333333"/>
          <w:bottom w:val="single" w:sz="6" w:color="333333"/>
          <w:right w:val="single" w:sz="6" w:color="333333"/>
          <w:insideH w:val="single" w:sz="6" w:color="333333"/>
          <w:insideV w:val="single" w:sz="6" w:color="333333"/>
        </w:tblBorders>
      </w:tblPr>
      <w:tblGrid>
        <w:gridCol w:w="737"/>
        <w:gridCol w:w="4252"/>
        <w:gridCol w:w="7512"/>
        <w:gridCol w:w="1729"/>
      </w:tblGrid>
      <w:tr>
        <w:trPr>
          <w:cantSplit/>
          <w:tblHeader/>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STT</w:t>
            </w:r>
          </w:p>
        </w:tc>
        <w:tc>
          <w:tcPr>
            <w:tcW w:type="dxa" w:w="4252"/>
            <w:tcMar>
              <w:top w:w="35" w:type="dxa"/>
              <w:start w:w="13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Nhiệm vụ, hoạt động</w:t>
            </w:r>
          </w:p>
        </w:tc>
        <w:tc>
          <w:tcPr>
            <w:tcW w:type="dxa" w:w="7512"/>
            <w:tcMar>
              <w:top w:w="35" w:type="dxa"/>
              <w:start w:w="13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Sản phẩm, hồ sơ minh chứng</w:t>
            </w:r>
          </w:p>
        </w:tc>
        <w:tc>
          <w:tcPr>
            <w:tcW w:type="dxa" w:w="1729"/>
            <w:tcMar>
              <w:top w:w="35" w:type="dxa"/>
              <w:start w:w="13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19"/>
              </w:rPr>
              <w:t>Mức chi</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1</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Truyền thông về việc xây dựng quyết định</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Bài viết, tin, sản phẩm số hoặc tài liệu truyền thông theo nhiệm vụ được giao.</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30.000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2</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Xây dựng hồ sơ dự thảo quyết định</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Hồ sơ dự thảo quyết định (gồm dự thảo tờ trình, dự thảo quyết định theo quy định).</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642.000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3</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Tổ chức lấy ý kiến, tổng hợp và giải trình</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Bản tổng hợp, tiếp thu, giải trình ý kiến góp ý; tài liệu phục vụ lấy ý kiến.</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504.000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4</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Chỉnh lý, hoàn thiện hồ sơ dự thảo quyết định</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Hồ sơ dự thảo quyết định được chỉnh lý, hoàn thiện sau góp ý, thẩm định.</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504.000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5</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Thẩm định dự thảo quyết định</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Báo cáo thẩm định và hồ sơ, tài liệu liên quan theo quy định.</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300.000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val="0"/>
                <w:i w:val="0"/>
                <w:sz w:val="20"/>
              </w:rPr>
              <w:t>6</w:t>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Tổng hợp, rà soát hồ sơ trình UBND</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val="0"/>
                <w:i w:val="0"/>
                <w:sz w:val="20"/>
              </w:rPr>
              <w:t>Hồ sơ được kiểm tra, tổng hợp, hoàn thiện để trình UBND phường.</w:t>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val="0"/>
                <w:i w:val="0"/>
                <w:sz w:val="20"/>
              </w:rPr>
              <w:t>420.000</w:t>
            </w:r>
          </w:p>
        </w:tc>
      </w:tr>
      <w:tr>
        <w:trPr>
          <w:cantSplit/>
        </w:trPr>
        <w:tc>
          <w:tcPr>
            <w:tcW w:type="dxa" w:w="737"/>
            <w:tcMar>
              <w:top w:w="35" w:type="dxa"/>
              <w:start w:w="110" w:type="dxa"/>
              <w:bottom w:w="35" w:type="dxa"/>
              <w:end w:w="130" w:type="dxa"/>
            </w:tcMar>
            <w:vAlign w:val="center"/>
          </w:tcPr>
          <w:p>
            <w:pPr>
              <w:spacing w:after="0" w:before="0" w:line="245" w:lineRule="auto"/>
              <w:jc w:val="center"/>
            </w:pPr>
            <w:r/>
            <w:r>
              <w:rPr>
                <w:rFonts w:ascii="Times New Roman" w:hAnsi="Times New Roman" w:eastAsia="Times New Roman" w:cs="Times New Roman"/>
                <w:b/>
                <w:i w:val="0"/>
                <w:sz w:val="20"/>
              </w:rPr>
            </w:r>
          </w:p>
        </w:tc>
        <w:tc>
          <w:tcPr>
            <w:tcW w:type="dxa" w:w="425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i w:val="0"/>
                <w:sz w:val="20"/>
              </w:rPr>
              <w:t>TỔNG CỘNG</w:t>
            </w:r>
          </w:p>
        </w:tc>
        <w:tc>
          <w:tcPr>
            <w:tcW w:type="dxa" w:w="7512"/>
            <w:tcMar>
              <w:top w:w="35" w:type="dxa"/>
              <w:start w:w="130" w:type="dxa"/>
              <w:bottom w:w="35" w:type="dxa"/>
              <w:end w:w="130" w:type="dxa"/>
            </w:tcMar>
            <w:vAlign w:val="center"/>
          </w:tcPr>
          <w:p>
            <w:pPr>
              <w:spacing w:after="0" w:before="0" w:line="245" w:lineRule="auto"/>
              <w:jc w:val="left"/>
            </w:pPr>
            <w:r/>
            <w:r>
              <w:rPr>
                <w:rFonts w:ascii="Times New Roman" w:hAnsi="Times New Roman" w:eastAsia="Times New Roman" w:cs="Times New Roman"/>
                <w:b/>
                <w:i w:val="0"/>
                <w:sz w:val="20"/>
              </w:rPr>
            </w:r>
          </w:p>
        </w:tc>
        <w:tc>
          <w:tcPr>
            <w:tcW w:type="dxa" w:w="1729"/>
            <w:tcMar>
              <w:top w:w="35" w:type="dxa"/>
              <w:start w:w="130" w:type="dxa"/>
              <w:bottom w:w="35" w:type="dxa"/>
              <w:end w:w="130" w:type="dxa"/>
            </w:tcMar>
            <w:vAlign w:val="center"/>
          </w:tcPr>
          <w:p>
            <w:pPr>
              <w:spacing w:after="0" w:before="0" w:line="245" w:lineRule="auto"/>
              <w:jc w:val="right"/>
            </w:pPr>
            <w:r/>
            <w:r>
              <w:rPr>
                <w:rFonts w:ascii="Times New Roman" w:hAnsi="Times New Roman" w:eastAsia="Times New Roman" w:cs="Times New Roman"/>
                <w:b/>
                <w:i w:val="0"/>
                <w:sz w:val="20"/>
              </w:rPr>
              <w:t>2.400.000</w:t>
            </w:r>
          </w:p>
        </w:tc>
      </w:tr>
    </w:tbl>
    <w:sectPr w:rsidR="00FC693F" w:rsidRPr="0006063C" w:rsidSect="00034616">
      <w:headerReference w:type="default" r:id="rId9"/>
      <w:pgSz w:w="16838" w:h="11906" w:orient="landscape"/>
      <w:pgMar w:top="1134" w:right="1020" w:bottom="1134" w:left="1587" w:header="454"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Times New Roman" w:hAnsi="Times New Roman" w:eastAsia="Times New Roman" w:cs="Times New Roman"/>
        <w:b w:val="0"/>
        <w:i w:val="0"/>
        <w:sz w:val="22"/>
      </w:rPr>
      <w:fldChar w:fldCharType="begin"/>
    </w:r>
    <w:r>
      <w:rPr>
        <w:rFonts w:ascii="Times New Roman" w:hAnsi="Times New Roman" w:eastAsia="Times New Roman" w:cs="Times New Roman"/>
        <w:b w:val="0"/>
        <w:i w:val="0"/>
        <w:sz w:val="22"/>
      </w:rPr>
      <w:instrText xml:space="preserve"> PAGE </w:instrText>
    </w:r>
    <w: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52" w:lineRule="auto"/>
    </w:pPr>
    <w:rPr>
      <w:rFonts w:ascii="Times New Roman" w:hAnsi="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